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5081">
      <w:pPr>
        <w:spacing w:before="100" w:beforeAutospacing="1" w:after="100" w:afterAutospacing="1"/>
        <w:jc w:val="left"/>
        <w:rPr>
          <w:rFonts w:hint="default" w:ascii="华文仿宋" w:hAnsi="华文仿宋" w:eastAsia="华文仿宋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highlight w:val="none"/>
          <w:lang w:val="en-US" w:eastAsia="zh-CN" w:bidi="ar"/>
        </w:rPr>
        <w:t>附件2：</w:t>
      </w:r>
    </w:p>
    <w:p w14:paraId="228639E4">
      <w:pPr>
        <w:spacing w:before="100" w:beforeAutospacing="1" w:after="100" w:afterAutospacing="1"/>
        <w:jc w:val="center"/>
        <w:rPr>
          <w:rFonts w:ascii="Times New Roman" w:hAnsi="Times New Roman" w:eastAsia="方正小标宋_GBK" w:cs="Times New Roman"/>
          <w:sz w:val="36"/>
          <w:szCs w:val="36"/>
          <w:highlight w:val="none"/>
        </w:rPr>
      </w:pPr>
      <w:r>
        <w:rPr>
          <w:rFonts w:hint="eastAsia" w:ascii="微软雅黑" w:hAnsi="微软雅黑" w:eastAsia="微软雅黑" w:cs="微软雅黑"/>
          <w:sz w:val="36"/>
          <w:szCs w:val="36"/>
          <w:highlight w:val="none"/>
        </w:rPr>
        <w:t>2024-2025学年第一学期《物理化学（上）》、《物理化学》和《物理化学及实验》重修（补修）说明</w:t>
      </w:r>
    </w:p>
    <w:p w14:paraId="12679B2D">
      <w:pPr>
        <w:pStyle w:val="20"/>
        <w:ind w:left="420" w:firstLine="560" w:firstLineChars="200"/>
        <w:jc w:val="both"/>
        <w:rPr>
          <w:rFonts w:ascii="华文仿宋" w:hAnsi="华文仿宋" w:eastAsia="华文仿宋"/>
          <w:sz w:val="28"/>
          <w:szCs w:val="28"/>
          <w:highlight w:val="none"/>
          <w:lang w:bidi="ar"/>
        </w:rPr>
      </w:pP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本学期《物理化学（上）》、《物理化学》、《物理化学及实验》重修、补修课程均采取“线上教学”的方式进行，所有学生通过浏览网上资料、观看网络教学视频进行学习，通过在线练习对章节内容进行复习并检验学习效果。</w:t>
      </w:r>
    </w:p>
    <w:p w14:paraId="2BB8BB6E">
      <w:pPr>
        <w:pStyle w:val="20"/>
        <w:ind w:left="420" w:firstLine="560" w:firstLineChars="200"/>
        <w:jc w:val="both"/>
        <w:rPr>
          <w:rFonts w:ascii="华文仿宋" w:hAnsi="华文仿宋" w:eastAsia="华文仿宋"/>
          <w:sz w:val="28"/>
          <w:szCs w:val="28"/>
          <w:highlight w:val="none"/>
          <w:lang w:bidi="ar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  <w:lang w:bidi="ar"/>
        </w:rPr>
        <w:t>主要途径：</w:t>
      </w: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依托中国药科大学超星平台开展线上教学。重修、补修学生通过下载“学习通”或我校“在线开放课程平台”进行登录，然后通过学习通扫描下方二维码或者输入邀请码加入班级。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 w14:paraId="1EC4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969" w:type="dxa"/>
            <w:vAlign w:val="center"/>
          </w:tcPr>
          <w:p w14:paraId="44C398AC">
            <w:pPr>
              <w:pStyle w:val="20"/>
              <w:spacing w:before="0" w:beforeAutospacing="0" w:after="0" w:afterAutospacing="0" w:line="480" w:lineRule="exact"/>
              <w:jc w:val="center"/>
              <w:rPr>
                <w:rFonts w:ascii="华文仿宋" w:hAnsi="华文仿宋" w:eastAsia="华文仿宋"/>
                <w:szCs w:val="32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32"/>
                <w:highlight w:val="none"/>
                <w:lang w:bidi="ar"/>
              </w:rPr>
              <w:t>物理化学（上）</w:t>
            </w:r>
          </w:p>
        </w:tc>
        <w:tc>
          <w:tcPr>
            <w:tcW w:w="3969" w:type="dxa"/>
            <w:vAlign w:val="center"/>
          </w:tcPr>
          <w:p w14:paraId="031BB7DB">
            <w:pPr>
              <w:pStyle w:val="20"/>
              <w:spacing w:before="0" w:beforeAutospacing="0" w:after="0" w:afterAutospacing="0" w:line="480" w:lineRule="exact"/>
              <w:jc w:val="center"/>
              <w:rPr>
                <w:rFonts w:ascii="华文仿宋" w:hAnsi="华文仿宋" w:eastAsia="华文仿宋"/>
                <w:b/>
                <w:bCs/>
                <w:szCs w:val="32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32"/>
                <w:highlight w:val="none"/>
                <w:lang w:bidi="ar"/>
              </w:rPr>
              <w:t>物理化学（含物理化学及实验）</w:t>
            </w:r>
          </w:p>
        </w:tc>
      </w:tr>
      <w:tr w14:paraId="1662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3969" w:type="dxa"/>
            <w:vAlign w:val="center"/>
          </w:tcPr>
          <w:p w14:paraId="67019823">
            <w:pPr>
              <w:pStyle w:val="20"/>
              <w:spacing w:before="0" w:beforeAutospacing="0" w:after="0" w:afterAutospacing="0"/>
              <w:jc w:val="center"/>
              <w:rPr>
                <w:rFonts w:ascii="华文仿宋" w:hAnsi="华文仿宋" w:eastAsia="华文仿宋"/>
                <w:sz w:val="22"/>
                <w:szCs w:val="28"/>
                <w:highlight w:val="none"/>
                <w:lang w:bidi="ar"/>
              </w:rPr>
            </w:pPr>
            <w:r>
              <w:rPr>
                <w:rFonts w:ascii="华文仿宋" w:hAnsi="华文仿宋" w:eastAsia="华文仿宋"/>
                <w:sz w:val="22"/>
                <w:szCs w:val="28"/>
                <w:highlight w:val="none"/>
                <w:lang w:bidi="ar"/>
              </w:rPr>
              <w:drawing>
                <wp:inline distT="0" distB="0" distL="0" distR="0">
                  <wp:extent cx="1438275" cy="1799590"/>
                  <wp:effectExtent l="0" t="0" r="9525" b="0"/>
                  <wp:docPr id="6" name="图片 6" descr="C:\Users\admin\Documents\WeChat Files\wxid_s06aobwkdhfq21\FileStorage\Temp\5f975cdebc2e459acc0c24d9d366c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\Documents\WeChat Files\wxid_s06aobwkdhfq21\FileStorage\Temp\5f975cdebc2e459acc0c24d9d366c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87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293C4D16">
            <w:pPr>
              <w:pStyle w:val="20"/>
              <w:spacing w:before="0" w:beforeAutospacing="0" w:after="0" w:afterAutospacing="0"/>
              <w:jc w:val="center"/>
              <w:rPr>
                <w:rFonts w:ascii="华文仿宋" w:hAnsi="华文仿宋" w:eastAsia="华文仿宋"/>
                <w:sz w:val="22"/>
                <w:szCs w:val="28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  <w:highlight w:val="none"/>
                <w:lang w:bidi="ar"/>
              </w:rPr>
              <w:t xml:space="preserve"> </w:t>
            </w:r>
            <w:r>
              <w:rPr>
                <w:highlight w:val="none"/>
              </w:rPr>
              <w:drawing>
                <wp:inline distT="0" distB="0" distL="0" distR="0">
                  <wp:extent cx="1512570" cy="190754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803" cy="19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656CE">
      <w:pPr>
        <w:pStyle w:val="20"/>
        <w:ind w:left="420" w:firstLine="560" w:firstLineChars="200"/>
        <w:jc w:val="both"/>
        <w:rPr>
          <w:rFonts w:ascii="华文仿宋" w:hAnsi="华文仿宋" w:eastAsia="华文仿宋"/>
          <w:sz w:val="28"/>
          <w:szCs w:val="28"/>
          <w:highlight w:val="none"/>
          <w:lang w:bidi="ar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  <w:lang w:bidi="ar"/>
        </w:rPr>
        <w:t>辅助途径：</w:t>
      </w: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以教学班级为单位建立QQ群作为答疑、沟通的主要方式。其中，物理化学（上）群号为：</w:t>
      </w:r>
      <w:r>
        <w:rPr>
          <w:rFonts w:ascii="华文仿宋" w:hAnsi="华文仿宋" w:eastAsia="华文仿宋"/>
          <w:sz w:val="28"/>
          <w:szCs w:val="28"/>
          <w:highlight w:val="none"/>
          <w:lang w:bidi="ar"/>
        </w:rPr>
        <w:t>681341601</w:t>
      </w: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；物理化学（含物理化学及实验）群号为：</w:t>
      </w:r>
      <w:r>
        <w:rPr>
          <w:rFonts w:ascii="华文仿宋" w:hAnsi="华文仿宋" w:eastAsia="华文仿宋"/>
          <w:sz w:val="28"/>
          <w:szCs w:val="28"/>
          <w:highlight w:val="none"/>
          <w:lang w:bidi="ar"/>
        </w:rPr>
        <w:t>549074492</w:t>
      </w: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，对应的二维码如下：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3442"/>
      </w:tblGrid>
      <w:tr w14:paraId="0F74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2" w:type="dxa"/>
          </w:tcPr>
          <w:p w14:paraId="7168B463">
            <w:pPr>
              <w:pStyle w:val="20"/>
              <w:spacing w:before="0" w:beforeAutospacing="0" w:after="0" w:afterAutospacing="0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  <w:lang w:bidi="ar"/>
              </w:rPr>
            </w:pPr>
            <w:r>
              <w:rPr>
                <w:rFonts w:ascii="华文仿宋" w:hAnsi="华文仿宋" w:eastAsia="华文仿宋"/>
                <w:sz w:val="28"/>
                <w:szCs w:val="28"/>
                <w:highlight w:val="none"/>
                <w:lang w:bidi="ar"/>
              </w:rPr>
              <w:drawing>
                <wp:inline distT="0" distB="0" distL="0" distR="0">
                  <wp:extent cx="1535430" cy="1871980"/>
                  <wp:effectExtent l="0" t="0" r="7620" b="0"/>
                  <wp:docPr id="8" name="图片 8" descr="C:\Users\admin\Documents\WeChat Files\wxid_s06aobwkdhfq21\FileStorage\Temp\59ef050479b296d43e1696cc12f95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\Documents\WeChat Files\wxid_s06aobwkdhfq21\FileStorage\Temp\59ef050479b296d43e1696cc12f95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2" t="19796" r="6861" b="34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940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  <w:vAlign w:val="center"/>
          </w:tcPr>
          <w:p w14:paraId="79F6E323">
            <w:pPr>
              <w:pStyle w:val="20"/>
              <w:spacing w:before="0" w:beforeAutospacing="0" w:after="0" w:afterAutospacing="0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  <w:lang w:bidi="ar"/>
              </w:rPr>
            </w:pPr>
            <w:r>
              <w:rPr>
                <w:rFonts w:ascii="华文仿宋" w:hAnsi="华文仿宋" w:eastAsia="华文仿宋"/>
                <w:sz w:val="28"/>
                <w:szCs w:val="28"/>
                <w:highlight w:val="none"/>
                <w:lang w:bidi="ar"/>
              </w:rPr>
              <w:drawing>
                <wp:inline distT="0" distB="0" distL="0" distR="0">
                  <wp:extent cx="1496060" cy="1835785"/>
                  <wp:effectExtent l="0" t="0" r="8890" b="12065"/>
                  <wp:docPr id="7" name="图片 7" descr="C:\Users\admin\Documents\WeChat Files\wxid_s06aobwkdhfq21\FileStorage\Temp\91d81642ae341412d9f3503d6d78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\Documents\WeChat Files\wxid_s06aobwkdhfq21\FileStorage\Temp\91d81642ae341412d9f3503d6d785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13" t="19167" r="7329" b="345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545" cy="18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928DEC">
      <w:pPr>
        <w:pStyle w:val="20"/>
        <w:ind w:left="420" w:firstLine="560" w:firstLineChars="200"/>
        <w:jc w:val="both"/>
        <w:rPr>
          <w:rFonts w:ascii="华文仿宋" w:hAnsi="华文仿宋" w:eastAsia="华文仿宋"/>
          <w:sz w:val="28"/>
          <w:szCs w:val="28"/>
          <w:highlight w:val="none"/>
          <w:lang w:bidi="ar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  <w:lang w:bidi="ar"/>
        </w:rPr>
        <w:t>在线学习：</w:t>
      </w: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学生自主通过在线视频进行学习。</w:t>
      </w:r>
      <w:bookmarkStart w:id="0" w:name="_GoBack"/>
      <w:bookmarkEnd w:id="0"/>
    </w:p>
    <w:p w14:paraId="0C1B7328">
      <w:pPr>
        <w:pStyle w:val="20"/>
        <w:ind w:left="420" w:firstLine="560" w:firstLineChars="200"/>
        <w:jc w:val="both"/>
        <w:rPr>
          <w:rFonts w:ascii="华文仿宋" w:hAnsi="华文仿宋" w:eastAsia="华文仿宋"/>
          <w:sz w:val="28"/>
          <w:szCs w:val="28"/>
          <w:highlight w:val="none"/>
          <w:lang w:bidi="ar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  <w:lang w:bidi="ar"/>
        </w:rPr>
        <w:t>平时作业：</w:t>
      </w: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授课教师下达相应章节的课程作业，所有重修学生应根据安排按时上交作业。</w:t>
      </w:r>
    </w:p>
    <w:p w14:paraId="5ABFD9CF">
      <w:pPr>
        <w:pStyle w:val="20"/>
        <w:ind w:left="420" w:firstLine="560" w:firstLineChars="200"/>
        <w:jc w:val="both"/>
        <w:rPr>
          <w:rFonts w:ascii="华文仿宋" w:hAnsi="华文仿宋" w:eastAsia="华文仿宋"/>
          <w:sz w:val="28"/>
          <w:szCs w:val="28"/>
          <w:highlight w:val="none"/>
          <w:lang w:bidi="ar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  <w:lang w:bidi="ar"/>
        </w:rPr>
        <w:t>平时测试：</w:t>
      </w: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授课教师提前下达在线测试通知，所有《物理化学（上）》、《物理化学》、《物理化学及实验》重修、补修学生应根据安排及时完成在线测试。所有在线测试在超星平台上进行，同学们可以通过“学习通”或网页登录我校“在线开放课程平台”进行。</w:t>
      </w:r>
    </w:p>
    <w:p w14:paraId="3EAFE4D8">
      <w:pPr>
        <w:pStyle w:val="20"/>
        <w:ind w:left="420" w:firstLine="560" w:firstLineChars="200"/>
        <w:jc w:val="both"/>
        <w:rPr>
          <w:rFonts w:ascii="华文仿宋" w:hAnsi="华文仿宋" w:eastAsia="华文仿宋"/>
          <w:sz w:val="28"/>
          <w:szCs w:val="28"/>
          <w:highlight w:val="none"/>
          <w:lang w:bidi="ar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  <w:lang w:bidi="ar"/>
        </w:rPr>
        <w:t>线下考试：</w:t>
      </w: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重修、补修学生应按时参加《物理化学（上）》、《物理化学》、《物理化学及实验》课程的期末统一考试，重修、补修考试和正常课程考试同步。</w:t>
      </w:r>
    </w:p>
    <w:p w14:paraId="7CEB0C28">
      <w:pPr>
        <w:pStyle w:val="20"/>
        <w:ind w:left="420" w:firstLine="560" w:firstLineChars="200"/>
        <w:jc w:val="both"/>
        <w:rPr>
          <w:rFonts w:ascii="华文仿宋" w:hAnsi="华文仿宋" w:eastAsia="华文仿宋"/>
          <w:sz w:val="28"/>
          <w:szCs w:val="28"/>
          <w:highlight w:val="none"/>
          <w:lang w:bidi="ar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  <w:lang w:bidi="ar"/>
        </w:rPr>
        <w:t>成绩总评：</w:t>
      </w:r>
      <w:r>
        <w:rPr>
          <w:rFonts w:ascii="华文仿宋" w:hAnsi="华文仿宋" w:eastAsia="华文仿宋"/>
          <w:sz w:val="28"/>
          <w:szCs w:val="28"/>
          <w:highlight w:val="none"/>
          <w:lang w:bidi="ar"/>
        </w:rPr>
        <w:t>总评成绩</w:t>
      </w: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中各个项目</w:t>
      </w:r>
      <w:r>
        <w:rPr>
          <w:rFonts w:ascii="华文仿宋" w:hAnsi="华文仿宋" w:eastAsia="华文仿宋"/>
          <w:sz w:val="28"/>
          <w:szCs w:val="28"/>
          <w:highlight w:val="none"/>
          <w:lang w:bidi="ar"/>
        </w:rPr>
        <w:t>的权重如下表所示</w:t>
      </w: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：</w:t>
      </w:r>
    </w:p>
    <w:p w14:paraId="342ED113">
      <w:pPr>
        <w:pStyle w:val="20"/>
        <w:ind w:left="420" w:firstLine="560" w:firstLineChars="200"/>
        <w:jc w:val="both"/>
        <w:rPr>
          <w:rFonts w:ascii="华文仿宋" w:hAnsi="华文仿宋" w:eastAsia="华文仿宋"/>
          <w:sz w:val="28"/>
          <w:szCs w:val="28"/>
          <w:highlight w:val="none"/>
          <w:lang w:bidi="ar"/>
        </w:rPr>
      </w:pPr>
    </w:p>
    <w:p w14:paraId="25556330">
      <w:pPr>
        <w:pStyle w:val="20"/>
        <w:ind w:left="420" w:firstLine="560" w:firstLineChars="200"/>
        <w:jc w:val="both"/>
        <w:rPr>
          <w:rFonts w:ascii="华文仿宋" w:hAnsi="华文仿宋" w:eastAsia="华文仿宋"/>
          <w:sz w:val="28"/>
          <w:szCs w:val="28"/>
          <w:highlight w:val="none"/>
          <w:lang w:bidi="ar"/>
        </w:rPr>
      </w:pPr>
    </w:p>
    <w:tbl>
      <w:tblPr>
        <w:tblStyle w:val="10"/>
        <w:tblW w:w="8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559"/>
        <w:gridCol w:w="1549"/>
        <w:gridCol w:w="3271"/>
        <w:gridCol w:w="1275"/>
      </w:tblGrid>
      <w:tr w14:paraId="77F1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22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38ECA3E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highlight w:val="none"/>
                <w:lang w:bidi="ar"/>
              </w:rPr>
              <w:t>物理化学（上）</w:t>
            </w:r>
          </w:p>
        </w:tc>
      </w:tr>
      <w:tr w14:paraId="29FA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A03F535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ACC6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成绩类别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FC74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考核方式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9D6C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考核要求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3B0351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权重（%）</w:t>
            </w:r>
          </w:p>
        </w:tc>
      </w:tr>
      <w:tr w14:paraId="4A27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4855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B606">
            <w:pPr>
              <w:adjustRightInd w:val="0"/>
              <w:snapToGrid w:val="0"/>
              <w:ind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过程性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考核</w:t>
            </w:r>
          </w:p>
          <w:p w14:paraId="21EDF985">
            <w:pPr>
              <w:adjustRightInd w:val="0"/>
              <w:snapToGrid w:val="0"/>
              <w:ind w:right="-105" w:rightChars="-50"/>
              <w:jc w:val="left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（平时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成绩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282D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>在线学习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1D69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>完成在线学习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47E5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10</w:t>
            </w:r>
          </w:p>
        </w:tc>
      </w:tr>
      <w:tr w14:paraId="6FA5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A4E7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2F21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A62E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作业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1E75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独立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完成作业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，按时上交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5022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10</w:t>
            </w:r>
          </w:p>
        </w:tc>
      </w:tr>
      <w:tr w14:paraId="452F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756BF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BA39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F891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章节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测验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E27D">
            <w:pPr>
              <w:adjustRightInd w:val="0"/>
              <w:snapToGrid w:val="0"/>
              <w:ind w:left="-105" w:leftChars="-50" w:right="-105" w:rightChars="-50" w:firstLine="240" w:firstLineChars="100"/>
              <w:rPr>
                <w:rFonts w:ascii="华文仿宋" w:hAnsi="华文仿宋" w:eastAsia="华文仿宋"/>
                <w:b/>
                <w:bCs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共2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次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，</w:t>
            </w: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  <w:highlight w:val="none"/>
                <w:lang w:bidi="ar"/>
              </w:rPr>
              <w:t>测试范围如下：</w:t>
            </w:r>
          </w:p>
          <w:p w14:paraId="5268C953">
            <w:pPr>
              <w:adjustRightInd w:val="0"/>
              <w:snapToGrid w:val="0"/>
              <w:ind w:right="-105" w:rightChars="-50" w:firstLine="240" w:firstLineChars="100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第一次：热力学第一定律</w:t>
            </w:r>
          </w:p>
          <w:p w14:paraId="1F2BD7D1">
            <w:pPr>
              <w:adjustRightInd w:val="0"/>
              <w:snapToGrid w:val="0"/>
              <w:ind w:right="-105" w:rightChars="-50" w:firstLine="240" w:firstLineChars="100"/>
              <w:jc w:val="left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第二次：热力学第二定律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2F03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20</w:t>
            </w:r>
          </w:p>
        </w:tc>
      </w:tr>
      <w:tr w14:paraId="2908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0B180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4D07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期末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成绩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AAA2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期末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考试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DF52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闭卷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17CB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60</w:t>
            </w:r>
          </w:p>
        </w:tc>
      </w:tr>
    </w:tbl>
    <w:p w14:paraId="26205479">
      <w:pPr>
        <w:pStyle w:val="20"/>
        <w:spacing w:before="0" w:beforeAutospacing="0" w:after="0" w:afterAutospacing="0" w:line="240" w:lineRule="exact"/>
        <w:ind w:left="420" w:firstLine="560" w:firstLineChars="200"/>
        <w:jc w:val="both"/>
        <w:rPr>
          <w:rFonts w:ascii="华文仿宋" w:hAnsi="华文仿宋" w:eastAsia="华文仿宋"/>
          <w:sz w:val="28"/>
          <w:szCs w:val="28"/>
          <w:highlight w:val="none"/>
          <w:lang w:bidi="ar"/>
        </w:rPr>
      </w:pPr>
    </w:p>
    <w:tbl>
      <w:tblPr>
        <w:tblStyle w:val="10"/>
        <w:tblW w:w="8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559"/>
        <w:gridCol w:w="1549"/>
        <w:gridCol w:w="3271"/>
        <w:gridCol w:w="1275"/>
      </w:tblGrid>
      <w:tr w14:paraId="3F24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22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F1C7A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highlight w:val="none"/>
                <w:lang w:bidi="ar"/>
              </w:rPr>
              <w:t>物理化学</w:t>
            </w:r>
          </w:p>
        </w:tc>
      </w:tr>
      <w:tr w14:paraId="5A65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3E44A1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B61F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成绩类别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90BD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考核方式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7575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考核要求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BE5D853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权重（%）</w:t>
            </w:r>
          </w:p>
        </w:tc>
      </w:tr>
      <w:tr w14:paraId="2741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3E61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1031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过程性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考核</w:t>
            </w:r>
          </w:p>
          <w:p w14:paraId="3287F281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（平时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成绩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1C60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>在线学习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5CB9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>完成在线学习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1AD9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5</w:t>
            </w:r>
          </w:p>
        </w:tc>
      </w:tr>
      <w:tr w14:paraId="3C64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D211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7964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D968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作业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29B9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独立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完成作业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，按时上交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67DC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10</w:t>
            </w:r>
          </w:p>
        </w:tc>
      </w:tr>
      <w:tr w14:paraId="44ED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D07C7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4092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14CD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章节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测验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ABA3">
            <w:pPr>
              <w:adjustRightInd w:val="0"/>
              <w:snapToGrid w:val="0"/>
              <w:ind w:left="-105" w:leftChars="-50" w:right="-105" w:rightChars="-50"/>
              <w:rPr>
                <w:rFonts w:ascii="华文仿宋" w:hAnsi="华文仿宋" w:eastAsia="华文仿宋"/>
                <w:b/>
                <w:bCs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共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2次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，</w:t>
            </w: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  <w:highlight w:val="none"/>
                <w:lang w:bidi="ar"/>
              </w:rPr>
              <w:t>测试范围如下：</w:t>
            </w:r>
          </w:p>
          <w:p w14:paraId="309C0027">
            <w:pPr>
              <w:adjustRightInd w:val="0"/>
              <w:snapToGrid w:val="0"/>
              <w:ind w:left="-105" w:leftChars="-50" w:right="-105" w:rightChars="-50"/>
              <w:jc w:val="left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  <w:highlight w:val="none"/>
                <w:lang w:bidi="ar"/>
              </w:rPr>
              <w:t>第一次：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热力学第一定律</w:t>
            </w:r>
          </w:p>
          <w:p w14:paraId="625A972C">
            <w:pPr>
              <w:adjustRightInd w:val="0"/>
              <w:snapToGrid w:val="0"/>
              <w:ind w:left="315" w:leftChars="150" w:right="-105" w:rightChars="-50" w:firstLine="480" w:firstLineChars="200"/>
              <w:jc w:val="left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热力学第二定律</w:t>
            </w:r>
          </w:p>
          <w:p w14:paraId="2A4CEEAA">
            <w:pPr>
              <w:adjustRightInd w:val="0"/>
              <w:snapToGrid w:val="0"/>
              <w:ind w:left="-105" w:leftChars="-50" w:right="-105" w:rightChars="-50"/>
              <w:jc w:val="left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  <w:highlight w:val="none"/>
                <w:lang w:bidi="ar"/>
              </w:rPr>
              <w:t>第二次：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相平衡、化学动力学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C2B4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20</w:t>
            </w:r>
          </w:p>
        </w:tc>
      </w:tr>
      <w:tr w14:paraId="5FE5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AE0EE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0DA9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期末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成绩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E856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期末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考试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D9D9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闭卷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32EB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65</w:t>
            </w:r>
          </w:p>
        </w:tc>
      </w:tr>
    </w:tbl>
    <w:p w14:paraId="5369E3BA">
      <w:pPr>
        <w:pStyle w:val="20"/>
        <w:spacing w:before="0" w:beforeAutospacing="0" w:after="0" w:afterAutospacing="0" w:line="240" w:lineRule="exact"/>
        <w:ind w:left="420" w:firstLine="560" w:firstLineChars="200"/>
        <w:jc w:val="both"/>
        <w:rPr>
          <w:rFonts w:ascii="华文仿宋" w:hAnsi="华文仿宋" w:eastAsia="华文仿宋"/>
          <w:sz w:val="28"/>
          <w:szCs w:val="28"/>
          <w:highlight w:val="none"/>
          <w:lang w:bidi="ar"/>
        </w:rPr>
      </w:pPr>
    </w:p>
    <w:tbl>
      <w:tblPr>
        <w:tblStyle w:val="10"/>
        <w:tblW w:w="8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559"/>
        <w:gridCol w:w="1549"/>
        <w:gridCol w:w="3271"/>
        <w:gridCol w:w="1275"/>
      </w:tblGrid>
      <w:tr w14:paraId="14CF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22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17EB415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highlight w:val="none"/>
                <w:lang w:bidi="ar"/>
              </w:rPr>
              <w:t>物理化学及实验</w:t>
            </w:r>
          </w:p>
        </w:tc>
      </w:tr>
      <w:tr w14:paraId="5FD3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2530DD5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类别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A22E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成绩类别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BE03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考核方式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6A4F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考核要求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2B11DDD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b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/>
                <w:sz w:val="24"/>
                <w:szCs w:val="24"/>
                <w:highlight w:val="none"/>
                <w:lang w:bidi="ar"/>
              </w:rPr>
              <w:t>权重（%）</w:t>
            </w:r>
          </w:p>
        </w:tc>
      </w:tr>
      <w:tr w14:paraId="7C06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E0F8E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>理</w:t>
            </w:r>
          </w:p>
          <w:p w14:paraId="4850F36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>论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A755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过程性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考核</w:t>
            </w:r>
          </w:p>
          <w:p w14:paraId="029E5DD2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（平时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成绩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F106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>在线学习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1B57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>完成在线学习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D73C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5</w:t>
            </w:r>
          </w:p>
        </w:tc>
      </w:tr>
      <w:tr w14:paraId="2531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EEAB3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9B64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EDF2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作业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339B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独立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完成作业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，按时上交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A138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5</w:t>
            </w:r>
          </w:p>
        </w:tc>
      </w:tr>
      <w:tr w14:paraId="65C6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6ECDA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53C5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67B0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章节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测验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8A7A">
            <w:pPr>
              <w:adjustRightInd w:val="0"/>
              <w:snapToGrid w:val="0"/>
              <w:ind w:left="-105" w:leftChars="-50" w:right="-105" w:rightChars="-50"/>
              <w:rPr>
                <w:rFonts w:ascii="华文仿宋" w:hAnsi="华文仿宋" w:eastAsia="华文仿宋"/>
                <w:b/>
                <w:bCs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共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2次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，</w:t>
            </w: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  <w:highlight w:val="none"/>
                <w:lang w:bidi="ar"/>
              </w:rPr>
              <w:t>测试范围如下：</w:t>
            </w:r>
          </w:p>
          <w:p w14:paraId="02D2455D">
            <w:pPr>
              <w:adjustRightInd w:val="0"/>
              <w:snapToGrid w:val="0"/>
              <w:ind w:left="-105" w:leftChars="-50" w:right="-105" w:rightChars="-50"/>
              <w:jc w:val="left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  <w:highlight w:val="none"/>
                <w:lang w:bidi="ar"/>
              </w:rPr>
              <w:t>第一次：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热力学第一定律</w:t>
            </w:r>
          </w:p>
          <w:p w14:paraId="57BBA87F">
            <w:pPr>
              <w:adjustRightInd w:val="0"/>
              <w:snapToGrid w:val="0"/>
              <w:ind w:left="315" w:leftChars="150" w:right="-105" w:rightChars="-50" w:firstLine="480" w:firstLineChars="200"/>
              <w:jc w:val="left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热力学第二定律</w:t>
            </w:r>
          </w:p>
          <w:p w14:paraId="7818B2A5">
            <w:pPr>
              <w:adjustRightInd w:val="0"/>
              <w:snapToGrid w:val="0"/>
              <w:ind w:left="-105" w:leftChars="-50" w:right="-105" w:rightChars="-50"/>
              <w:jc w:val="left"/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  <w:highlight w:val="none"/>
                <w:lang w:bidi="ar"/>
              </w:rPr>
              <w:t>第二次：</w:t>
            </w: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相平衡、化学动力学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615F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10</w:t>
            </w:r>
          </w:p>
        </w:tc>
      </w:tr>
      <w:tr w14:paraId="1497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FF0B7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549B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期末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成绩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73A9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期末</w:t>
            </w: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考试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DA74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闭卷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9FF4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50</w:t>
            </w:r>
          </w:p>
        </w:tc>
      </w:tr>
      <w:tr w14:paraId="5303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E7BF4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FE82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  <w:lang w:bidi="ar"/>
              </w:rPr>
              <w:t>教学实践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83EA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>——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74D1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highlight w:val="none"/>
              </w:rPr>
              <w:t>过程性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2102">
            <w:pPr>
              <w:adjustRightInd w:val="0"/>
              <w:snapToGrid w:val="0"/>
              <w:spacing w:before="100" w:beforeAutospacing="1" w:after="100" w:afterAutospacing="1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sz w:val="24"/>
                <w:szCs w:val="24"/>
                <w:highlight w:val="none"/>
                <w:lang w:bidi="ar"/>
              </w:rPr>
              <w:t>30</w:t>
            </w:r>
          </w:p>
        </w:tc>
      </w:tr>
    </w:tbl>
    <w:p w14:paraId="0767486F">
      <w:pPr>
        <w:pStyle w:val="20"/>
        <w:ind w:left="420" w:firstLine="560" w:firstLineChars="200"/>
        <w:jc w:val="right"/>
        <w:rPr>
          <w:rFonts w:ascii="华文仿宋" w:hAnsi="华文仿宋" w:eastAsia="华文仿宋"/>
          <w:sz w:val="28"/>
          <w:szCs w:val="28"/>
          <w:highlight w:val="none"/>
          <w:lang w:bidi="ar"/>
        </w:rPr>
      </w:pP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联系方式：阚子规（1</w:t>
      </w:r>
      <w:r>
        <w:rPr>
          <w:rFonts w:ascii="华文仿宋" w:hAnsi="华文仿宋" w:eastAsia="华文仿宋"/>
          <w:sz w:val="28"/>
          <w:szCs w:val="28"/>
          <w:highlight w:val="none"/>
          <w:lang w:bidi="ar"/>
        </w:rPr>
        <w:t>3913007153</w:t>
      </w: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）、司承运（1</w:t>
      </w:r>
      <w:r>
        <w:rPr>
          <w:rFonts w:ascii="华文仿宋" w:hAnsi="华文仿宋" w:eastAsia="华文仿宋"/>
          <w:sz w:val="28"/>
          <w:szCs w:val="28"/>
          <w:highlight w:val="none"/>
          <w:lang w:bidi="ar"/>
        </w:rPr>
        <w:t>361158072</w:t>
      </w:r>
      <w:r>
        <w:rPr>
          <w:rFonts w:hint="eastAsia" w:ascii="华文仿宋" w:hAnsi="华文仿宋" w:eastAsia="华文仿宋"/>
          <w:sz w:val="28"/>
          <w:szCs w:val="28"/>
          <w:highlight w:val="none"/>
          <w:lang w:bidi="ar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铸字烈焰体W">
    <w:panose1 w:val="00020600040101010101"/>
    <w:charset w:val="86"/>
    <w:family w:val="auto"/>
    <w:pitch w:val="default"/>
    <w:sig w:usb0="8000003F" w:usb1="3AC1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3MDJkNGNjZjUxZGMzNjRjN2Q1YmFhZGNlNDAxMjkifQ=="/>
  </w:docVars>
  <w:rsids>
    <w:rsidRoot w:val="00AC0F42"/>
    <w:rsid w:val="00027F5A"/>
    <w:rsid w:val="000312F1"/>
    <w:rsid w:val="00032CF1"/>
    <w:rsid w:val="0004139C"/>
    <w:rsid w:val="0007446E"/>
    <w:rsid w:val="00080895"/>
    <w:rsid w:val="000927FE"/>
    <w:rsid w:val="0009386E"/>
    <w:rsid w:val="000976FE"/>
    <w:rsid w:val="000A6A3C"/>
    <w:rsid w:val="000E7E03"/>
    <w:rsid w:val="000F0385"/>
    <w:rsid w:val="000F7084"/>
    <w:rsid w:val="00101343"/>
    <w:rsid w:val="00127140"/>
    <w:rsid w:val="001463D3"/>
    <w:rsid w:val="00184376"/>
    <w:rsid w:val="00194510"/>
    <w:rsid w:val="001A659A"/>
    <w:rsid w:val="001B1322"/>
    <w:rsid w:val="001D7FE6"/>
    <w:rsid w:val="001E2AA5"/>
    <w:rsid w:val="001E6F75"/>
    <w:rsid w:val="001F247B"/>
    <w:rsid w:val="001F680E"/>
    <w:rsid w:val="0020147D"/>
    <w:rsid w:val="002147F8"/>
    <w:rsid w:val="00235629"/>
    <w:rsid w:val="0024276B"/>
    <w:rsid w:val="00262E67"/>
    <w:rsid w:val="002F2748"/>
    <w:rsid w:val="002F7F5B"/>
    <w:rsid w:val="00307891"/>
    <w:rsid w:val="0031628A"/>
    <w:rsid w:val="00324047"/>
    <w:rsid w:val="00331A30"/>
    <w:rsid w:val="00333A99"/>
    <w:rsid w:val="00361E32"/>
    <w:rsid w:val="00373A4C"/>
    <w:rsid w:val="003A68CF"/>
    <w:rsid w:val="003B1274"/>
    <w:rsid w:val="003B4FED"/>
    <w:rsid w:val="003E61E9"/>
    <w:rsid w:val="004160BB"/>
    <w:rsid w:val="0047076B"/>
    <w:rsid w:val="00487DB7"/>
    <w:rsid w:val="004A1465"/>
    <w:rsid w:val="004A4F71"/>
    <w:rsid w:val="004B2FC1"/>
    <w:rsid w:val="004C7BE9"/>
    <w:rsid w:val="004D468C"/>
    <w:rsid w:val="004E2E7E"/>
    <w:rsid w:val="0050041C"/>
    <w:rsid w:val="00506111"/>
    <w:rsid w:val="0052698C"/>
    <w:rsid w:val="00535342"/>
    <w:rsid w:val="00536F70"/>
    <w:rsid w:val="00553BD8"/>
    <w:rsid w:val="005A517D"/>
    <w:rsid w:val="005B0406"/>
    <w:rsid w:val="005C20F0"/>
    <w:rsid w:val="005F48B6"/>
    <w:rsid w:val="00605F6E"/>
    <w:rsid w:val="006115B0"/>
    <w:rsid w:val="00611E23"/>
    <w:rsid w:val="0061596E"/>
    <w:rsid w:val="0062512B"/>
    <w:rsid w:val="006E4DAC"/>
    <w:rsid w:val="00722229"/>
    <w:rsid w:val="00725211"/>
    <w:rsid w:val="00737A59"/>
    <w:rsid w:val="00764091"/>
    <w:rsid w:val="00786FB3"/>
    <w:rsid w:val="00796008"/>
    <w:rsid w:val="007C12C5"/>
    <w:rsid w:val="007E48B9"/>
    <w:rsid w:val="007E5ABF"/>
    <w:rsid w:val="00804BAF"/>
    <w:rsid w:val="008255B4"/>
    <w:rsid w:val="00876649"/>
    <w:rsid w:val="0088668D"/>
    <w:rsid w:val="008948CA"/>
    <w:rsid w:val="008A2BB2"/>
    <w:rsid w:val="008A7CA3"/>
    <w:rsid w:val="008B3A55"/>
    <w:rsid w:val="008C4BD0"/>
    <w:rsid w:val="008C5796"/>
    <w:rsid w:val="00942743"/>
    <w:rsid w:val="0098409D"/>
    <w:rsid w:val="009B628E"/>
    <w:rsid w:val="00A20B8E"/>
    <w:rsid w:val="00A51CFC"/>
    <w:rsid w:val="00A70A14"/>
    <w:rsid w:val="00A74B57"/>
    <w:rsid w:val="00A763DC"/>
    <w:rsid w:val="00A84D92"/>
    <w:rsid w:val="00A9396B"/>
    <w:rsid w:val="00AC0F42"/>
    <w:rsid w:val="00AC58CE"/>
    <w:rsid w:val="00AC63B9"/>
    <w:rsid w:val="00AF76BF"/>
    <w:rsid w:val="00B31BFB"/>
    <w:rsid w:val="00B3297C"/>
    <w:rsid w:val="00B512BC"/>
    <w:rsid w:val="00B77B49"/>
    <w:rsid w:val="00B81B16"/>
    <w:rsid w:val="00B87A2A"/>
    <w:rsid w:val="00B972D3"/>
    <w:rsid w:val="00BD57E8"/>
    <w:rsid w:val="00BE52B3"/>
    <w:rsid w:val="00C059B2"/>
    <w:rsid w:val="00C237F8"/>
    <w:rsid w:val="00C2655C"/>
    <w:rsid w:val="00C30EA9"/>
    <w:rsid w:val="00C3670A"/>
    <w:rsid w:val="00C50547"/>
    <w:rsid w:val="00C66EF8"/>
    <w:rsid w:val="00CB6646"/>
    <w:rsid w:val="00CC32B4"/>
    <w:rsid w:val="00CD0131"/>
    <w:rsid w:val="00CF5E49"/>
    <w:rsid w:val="00D5078E"/>
    <w:rsid w:val="00D575C4"/>
    <w:rsid w:val="00D867A6"/>
    <w:rsid w:val="00D8782A"/>
    <w:rsid w:val="00DA4BA6"/>
    <w:rsid w:val="00DB3372"/>
    <w:rsid w:val="00DB49EB"/>
    <w:rsid w:val="00DF739B"/>
    <w:rsid w:val="00E07CAF"/>
    <w:rsid w:val="00E21C36"/>
    <w:rsid w:val="00E222AE"/>
    <w:rsid w:val="00E529C1"/>
    <w:rsid w:val="00E75666"/>
    <w:rsid w:val="00E87481"/>
    <w:rsid w:val="00EA7598"/>
    <w:rsid w:val="00EB2A4C"/>
    <w:rsid w:val="00EB3338"/>
    <w:rsid w:val="00F16302"/>
    <w:rsid w:val="00F36818"/>
    <w:rsid w:val="00F41B7E"/>
    <w:rsid w:val="00F431FB"/>
    <w:rsid w:val="00F6283A"/>
    <w:rsid w:val="00F65DAD"/>
    <w:rsid w:val="00F76FAB"/>
    <w:rsid w:val="00F82534"/>
    <w:rsid w:val="00FC178B"/>
    <w:rsid w:val="094703AB"/>
    <w:rsid w:val="1FF775B7"/>
    <w:rsid w:val="2EA61897"/>
    <w:rsid w:val="35156E9C"/>
    <w:rsid w:val="35951B6D"/>
    <w:rsid w:val="436D6BE3"/>
    <w:rsid w:val="46246DEB"/>
    <w:rsid w:val="53734508"/>
    <w:rsid w:val="55BB019E"/>
    <w:rsid w:val="56905D08"/>
    <w:rsid w:val="5C59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17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大纲的标题"/>
    <w:basedOn w:val="1"/>
    <w:link w:val="22"/>
    <w:qFormat/>
    <w:uiPriority w:val="0"/>
    <w:pPr>
      <w:adjustRightInd w:val="0"/>
      <w:snapToGrid w:val="0"/>
      <w:spacing w:beforeLines="50" w:afterLines="50" w:line="300" w:lineRule="auto"/>
      <w:jc w:val="left"/>
    </w:pPr>
    <w:rPr>
      <w:rFonts w:ascii="Times New Roman" w:hAnsi="Times New Roman"/>
      <w:b/>
      <w:sz w:val="24"/>
      <w:szCs w:val="24"/>
    </w:rPr>
  </w:style>
  <w:style w:type="character" w:customStyle="1" w:styleId="22">
    <w:name w:val="大纲的标题 Char"/>
    <w:basedOn w:val="12"/>
    <w:link w:val="21"/>
    <w:qFormat/>
    <w:uiPriority w:val="0"/>
    <w:rPr>
      <w:rFonts w:ascii="Times New Roman" w:hAnsi="Times New Roman"/>
      <w:b/>
      <w:sz w:val="24"/>
      <w:szCs w:val="24"/>
    </w:rPr>
  </w:style>
  <w:style w:type="character" w:customStyle="1" w:styleId="23">
    <w:name w:val="批注文字 字符"/>
    <w:basedOn w:val="12"/>
    <w:link w:val="4"/>
    <w:semiHidden/>
    <w:qFormat/>
    <w:uiPriority w:val="99"/>
    <w:rPr>
      <w:kern w:val="2"/>
      <w:sz w:val="21"/>
      <w:szCs w:val="22"/>
    </w:rPr>
  </w:style>
  <w:style w:type="character" w:customStyle="1" w:styleId="24">
    <w:name w:val="批注主题 字符"/>
    <w:basedOn w:val="23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C620-D834-4496-A323-09C18B187E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973</Words>
  <Characters>1027</Characters>
  <Lines>8</Lines>
  <Paragraphs>2</Paragraphs>
  <TotalTime>0</TotalTime>
  <ScaleCrop>false</ScaleCrop>
  <LinksUpToDate>false</LinksUpToDate>
  <CharactersWithSpaces>1028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2023-10-07T03:00:00Z</dcterms:created>
  <dc:creator>ginger</dc:creator>
  <cp:lastModifiedBy>SZ</cp:lastModifiedBy>
  <cp:lastPrinted>2024-10-09T06:11:03Z</cp:lastPrinted>
  <dcterms:modified xsi:type="dcterms:W3CDTF">2024-10-09T06:19:33Z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06A1E804BB344CD7BB5129C07C15606C_13</vt:lpwstr>
  </property>
</Properties>
</file>